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tabs>
          <w:tab w:val="clear" w:pos="708"/>
          <w:tab w:val="left" w:pos="716" w:leader="none"/>
          <w:tab w:val="left" w:pos="972" w:leader="none"/>
        </w:tabs>
        <w:overflowPunct w:val="false"/>
        <w:ind w:left="716" w:right="10" w:hanging="432"/>
        <w:jc w:val="center"/>
        <w:textAlignment w:val="baseline"/>
        <w:rPr>
          <w:b/>
          <w:b/>
          <w:i/>
          <w:i/>
          <w:sz w:val="28"/>
          <w:szCs w:val="28"/>
        </w:rPr>
      </w:pPr>
      <w:r>
        <w:rPr>
          <w:b/>
          <w:i/>
          <w:sz w:val="28"/>
          <w:szCs w:val="28"/>
        </w:rPr>
        <w:t>Уважаемые абоненты</w:t>
      </w:r>
    </w:p>
    <w:p>
      <w:pPr>
        <w:pStyle w:val="Normal"/>
        <w:numPr>
          <w:ilvl w:val="0"/>
          <w:numId w:val="0"/>
        </w:numPr>
        <w:tabs>
          <w:tab w:val="clear" w:pos="708"/>
          <w:tab w:val="left" w:pos="716" w:leader="none"/>
          <w:tab w:val="left" w:pos="972" w:leader="none"/>
        </w:tabs>
        <w:overflowPunct w:val="false"/>
        <w:ind w:left="716" w:right="10" w:hanging="432"/>
        <w:jc w:val="center"/>
        <w:textAlignment w:val="baseline"/>
        <w:rPr>
          <w:b/>
          <w:b/>
          <w:bCs/>
          <w:i/>
          <w:i/>
          <w:sz w:val="28"/>
          <w:szCs w:val="28"/>
        </w:rPr>
      </w:pPr>
      <w:r>
        <w:rPr>
          <w:b/>
          <w:i/>
          <w:sz w:val="28"/>
          <w:szCs w:val="28"/>
        </w:rPr>
        <w:t xml:space="preserve">  </w:t>
      </w:r>
      <w:r>
        <w:rPr>
          <w:b/>
          <w:bCs/>
          <w:i/>
          <w:sz w:val="28"/>
          <w:szCs w:val="28"/>
        </w:rPr>
        <w:t xml:space="preserve">по договорам на оказание услуг связи по предоставлению доступа </w:t>
      </w:r>
    </w:p>
    <w:p>
      <w:pPr>
        <w:pStyle w:val="Normal"/>
        <w:numPr>
          <w:ilvl w:val="0"/>
          <w:numId w:val="0"/>
        </w:numPr>
        <w:tabs>
          <w:tab w:val="clear" w:pos="708"/>
          <w:tab w:val="left" w:pos="716" w:leader="none"/>
          <w:tab w:val="left" w:pos="972" w:leader="none"/>
        </w:tabs>
        <w:overflowPunct w:val="false"/>
        <w:ind w:left="716" w:right="10" w:hanging="432"/>
        <w:jc w:val="center"/>
        <w:textAlignment w:val="baseline"/>
        <w:rPr>
          <w:b/>
          <w:b/>
          <w:bCs/>
          <w:i/>
          <w:i/>
          <w:sz w:val="28"/>
          <w:szCs w:val="28"/>
        </w:rPr>
      </w:pPr>
      <w:r>
        <w:rPr>
          <w:b/>
          <w:bCs/>
          <w:i/>
          <w:sz w:val="28"/>
          <w:szCs w:val="28"/>
        </w:rPr>
        <w:t xml:space="preserve">в интернет, заключённым </w:t>
      </w:r>
    </w:p>
    <w:p>
      <w:pPr>
        <w:pStyle w:val="Normal"/>
        <w:numPr>
          <w:ilvl w:val="0"/>
          <w:numId w:val="0"/>
        </w:numPr>
        <w:tabs>
          <w:tab w:val="clear" w:pos="708"/>
          <w:tab w:val="left" w:pos="716" w:leader="none"/>
          <w:tab w:val="left" w:pos="972" w:leader="none"/>
        </w:tabs>
        <w:overflowPunct w:val="false"/>
        <w:ind w:left="716" w:right="10" w:hanging="432"/>
        <w:jc w:val="center"/>
        <w:textAlignment w:val="baseline"/>
        <w:rPr>
          <w:b/>
          <w:b/>
          <w:bCs/>
          <w:i/>
          <w:i/>
          <w:sz w:val="28"/>
          <w:szCs w:val="28"/>
        </w:rPr>
      </w:pPr>
      <w:r>
        <w:rPr>
          <w:b/>
          <w:bCs/>
          <w:i/>
          <w:sz w:val="28"/>
          <w:szCs w:val="28"/>
        </w:rPr>
        <w:t xml:space="preserve">между Абонентом-физическим лицом и Оператором </w:t>
      </w:r>
    </w:p>
    <w:p>
      <w:pPr>
        <w:pStyle w:val="Normal"/>
        <w:numPr>
          <w:ilvl w:val="0"/>
          <w:numId w:val="0"/>
        </w:numPr>
        <w:tabs>
          <w:tab w:val="clear" w:pos="708"/>
          <w:tab w:val="left" w:pos="716" w:leader="none"/>
          <w:tab w:val="left" w:pos="972" w:leader="none"/>
        </w:tabs>
        <w:overflowPunct w:val="false"/>
        <w:ind w:left="716" w:right="10" w:hanging="432"/>
        <w:jc w:val="center"/>
        <w:textAlignment w:val="baseline"/>
        <w:rPr>
          <w:rFonts w:ascii="Times New Roman" w:hAnsi="Times New Roman"/>
        </w:rPr>
      </w:pPr>
      <w:r>
        <w:rPr>
          <w:b/>
          <w:bCs/>
          <w:i/>
          <w:sz w:val="28"/>
          <w:szCs w:val="28"/>
        </w:rPr>
        <w:t xml:space="preserve"> </w:t>
      </w:r>
      <w:r>
        <w:rPr>
          <w:b/>
          <w:bCs/>
          <w:i/>
          <w:sz w:val="28"/>
          <w:szCs w:val="28"/>
        </w:rPr>
        <w:t>ООО</w:t>
      </w:r>
      <w:r>
        <w:rPr>
          <w:b/>
          <w:i/>
          <w:sz w:val="28"/>
          <w:szCs w:val="28"/>
        </w:rPr>
        <w:t xml:space="preserve"> «</w:t>
      </w:r>
      <w:r>
        <w:rPr>
          <w:b/>
          <w:i/>
          <w:caps w:val="false"/>
          <w:smallCaps w:val="false"/>
          <w:color w:val="333333"/>
          <w:spacing w:val="0"/>
          <w:sz w:val="28"/>
          <w:szCs w:val="28"/>
        </w:rPr>
        <w:t>ЛекСтар Коммуникейшн</w:t>
      </w:r>
      <w:r>
        <w:rPr>
          <w:b/>
          <w:i/>
          <w:sz w:val="28"/>
          <w:szCs w:val="28"/>
        </w:rPr>
        <w:t>»</w:t>
      </w:r>
      <w:r>
        <w:rPr>
          <w:sz w:val="28"/>
          <w:szCs w:val="28"/>
        </w:rPr>
        <w:t>!</w:t>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t>Общество с ограниченной ответственностью «</w:t>
      </w:r>
      <w:r>
        <w:rPr>
          <w:b w:val="false"/>
          <w:i w:val="false"/>
          <w:caps w:val="false"/>
          <w:smallCaps w:val="false"/>
          <w:color w:val="333333"/>
          <w:spacing w:val="0"/>
          <w:sz w:val="22"/>
          <w:szCs w:val="22"/>
        </w:rPr>
        <w:t>ЛекСтар Коммуникейшн</w:t>
      </w:r>
      <w:r>
        <w:rPr>
          <w:sz w:val="22"/>
          <w:szCs w:val="22"/>
        </w:rPr>
        <w:t>» (ООО «</w:t>
      </w:r>
      <w:r>
        <w:rPr>
          <w:b w:val="false"/>
          <w:i w:val="false"/>
          <w:caps w:val="false"/>
          <w:smallCaps w:val="false"/>
          <w:color w:val="333333"/>
          <w:spacing w:val="0"/>
          <w:sz w:val="22"/>
          <w:szCs w:val="22"/>
        </w:rPr>
        <w:t>ЛекСтар Коммуникейшн</w:t>
      </w:r>
      <w:r>
        <w:rPr>
          <w:sz w:val="22"/>
          <w:szCs w:val="22"/>
        </w:rPr>
        <w:t>»), предоставляет Вам возможность оформления изменений и дополнений к договору на оказание услуг связи по предоставлению доступа в интернет, заключенному между Вами и Оператором, путем заключения соглашения к такому договору на условиях нижеприведенной публичной оферты.</w:t>
      </w:r>
    </w:p>
    <w:p>
      <w:pPr>
        <w:pStyle w:val="NormalWeb"/>
        <w:spacing w:before="280" w:after="280"/>
        <w:jc w:val="both"/>
        <w:rPr>
          <w:rFonts w:ascii="Times New Roman" w:hAnsi="Times New Roman"/>
          <w:sz w:val="22"/>
          <w:szCs w:val="22"/>
        </w:rPr>
      </w:pPr>
      <w:r>
        <w:rPr>
          <w:sz w:val="22"/>
          <w:szCs w:val="22"/>
        </w:rPr>
        <w:t>Данный документ является официальным предложением (Публичной офертой) ООО «</w:t>
      </w:r>
      <w:r>
        <w:rPr>
          <w:b w:val="false"/>
          <w:i w:val="false"/>
          <w:caps w:val="false"/>
          <w:smallCaps w:val="false"/>
          <w:color w:val="333333"/>
          <w:spacing w:val="0"/>
          <w:sz w:val="22"/>
          <w:szCs w:val="22"/>
        </w:rPr>
        <w:t>ЛекСтар Коммуникейшн</w:t>
      </w:r>
      <w:r>
        <w:rPr>
          <w:sz w:val="22"/>
          <w:szCs w:val="22"/>
        </w:rPr>
        <w:t>» о заключении соответствующего соглашения к договору на оказание услуг связи.</w:t>
      </w:r>
    </w:p>
    <w:p>
      <w:pPr>
        <w:pStyle w:val="NormalWeb"/>
        <w:spacing w:before="280" w:after="280"/>
        <w:jc w:val="both"/>
        <w:rPr>
          <w:rFonts w:ascii="Times New Roman" w:hAnsi="Times New Roman"/>
          <w:sz w:val="22"/>
          <w:szCs w:val="22"/>
        </w:rPr>
      </w:pPr>
      <w:r>
        <w:rPr>
          <w:sz w:val="22"/>
          <w:szCs w:val="22"/>
        </w:rPr>
        <w:t>В соответствии с пунктом 2 статьи 437 Гражданского Кодекса Российской Федерации в случае принятия Вами изложенных ниже условий посредством акцепта настоящей Публичной оферты путем совершения конклюдентных действий Вы заключаете соответствующее Соглашение.</w:t>
      </w:r>
    </w:p>
    <w:p>
      <w:pPr>
        <w:pStyle w:val="NormalWeb"/>
        <w:spacing w:before="280" w:after="280"/>
        <w:jc w:val="both"/>
        <w:rPr>
          <w:rFonts w:ascii="Times New Roman" w:hAnsi="Times New Roman"/>
          <w:sz w:val="22"/>
          <w:szCs w:val="22"/>
        </w:rPr>
      </w:pPr>
      <w:r>
        <w:rPr>
          <w:sz w:val="22"/>
          <w:szCs w:val="22"/>
        </w:rPr>
        <w:t>Просим Вас внимательно прочитать текст данной Публичной оферты, поскольку ее акцепт означает Ваше согласие со всеми условиями соответствующего Соглашения.</w:t>
      </w:r>
    </w:p>
    <w:p>
      <w:pPr>
        <w:pStyle w:val="1"/>
        <w:keepNext w:val="false"/>
        <w:numPr>
          <w:ilvl w:val="0"/>
          <w:numId w:val="0"/>
        </w:numPr>
        <w:tabs>
          <w:tab w:val="clear" w:pos="708"/>
          <w:tab w:val="left" w:pos="3960" w:leader="none"/>
        </w:tabs>
        <w:ind w:left="360" w:hanging="0"/>
        <w:jc w:val="center"/>
        <w:outlineLvl w:val="0"/>
        <w:rPr>
          <w:rFonts w:ascii="Times New Roman" w:hAnsi="Times New Roman"/>
          <w:sz w:val="22"/>
          <w:szCs w:val="22"/>
        </w:rPr>
      </w:pPr>
      <w:r>
        <w:rPr>
          <w:i/>
          <w:sz w:val="22"/>
          <w:szCs w:val="22"/>
        </w:rPr>
        <w:t>ПУБЛИЧНАЯ ОФЕРТА</w:t>
      </w:r>
    </w:p>
    <w:p>
      <w:pPr>
        <w:pStyle w:val="Normal"/>
        <w:numPr>
          <w:ilvl w:val="0"/>
          <w:numId w:val="0"/>
        </w:numPr>
        <w:tabs>
          <w:tab w:val="clear" w:pos="708"/>
          <w:tab w:val="left" w:pos="716" w:leader="none"/>
          <w:tab w:val="left" w:pos="972" w:leader="none"/>
        </w:tabs>
        <w:overflowPunct w:val="false"/>
        <w:ind w:left="716" w:right="10" w:hanging="432"/>
        <w:jc w:val="center"/>
        <w:textAlignment w:val="baseline"/>
        <w:rPr>
          <w:rFonts w:ascii="Times New Roman" w:hAnsi="Times New Roman"/>
          <w:sz w:val="22"/>
          <w:szCs w:val="22"/>
        </w:rPr>
      </w:pPr>
      <w:r>
        <w:rPr>
          <w:b/>
          <w:bCs/>
          <w:i/>
          <w:sz w:val="22"/>
          <w:szCs w:val="22"/>
        </w:rPr>
        <w:t xml:space="preserve">  </w:t>
      </w:r>
      <w:r>
        <w:rPr>
          <w:b/>
          <w:bCs/>
          <w:i/>
          <w:sz w:val="22"/>
          <w:szCs w:val="22"/>
        </w:rPr>
        <w:t>к договору на оказание услуг связи по предоставлению доступа в интернет, заключённому между Абонентом-физическим лицом и Оператором – ООО «</w:t>
      </w:r>
      <w:r>
        <w:rPr>
          <w:b/>
          <w:bCs/>
          <w:i w:val="false"/>
          <w:caps w:val="false"/>
          <w:smallCaps w:val="false"/>
          <w:color w:val="333333"/>
          <w:spacing w:val="0"/>
          <w:sz w:val="22"/>
          <w:szCs w:val="22"/>
        </w:rPr>
        <w:t>ЛекСтар Коммуникейшн</w:t>
      </w:r>
      <w:r>
        <w:rPr>
          <w:b/>
          <w:bCs/>
          <w:i/>
          <w:sz w:val="22"/>
          <w:szCs w:val="22"/>
        </w:rPr>
        <w:t xml:space="preserve">» </w:t>
      </w:r>
    </w:p>
    <w:p>
      <w:pPr>
        <w:pStyle w:val="Normal"/>
        <w:numPr>
          <w:ilvl w:val="0"/>
          <w:numId w:val="0"/>
        </w:numPr>
        <w:tabs>
          <w:tab w:val="clear" w:pos="708"/>
          <w:tab w:val="left" w:pos="716" w:leader="none"/>
          <w:tab w:val="left" w:pos="972" w:leader="none"/>
        </w:tabs>
        <w:overflowPunct w:val="false"/>
        <w:ind w:left="716" w:right="10" w:hanging="432"/>
        <w:jc w:val="center"/>
        <w:textAlignment w:val="baseline"/>
        <w:rPr>
          <w:rFonts w:ascii="Times New Roman" w:hAnsi="Times New Roman"/>
          <w:b/>
          <w:b/>
          <w:bCs/>
          <w:sz w:val="22"/>
          <w:szCs w:val="22"/>
        </w:rPr>
      </w:pPr>
      <w:r>
        <w:rPr>
          <w:b/>
          <w:bCs/>
          <w:sz w:val="22"/>
          <w:szCs w:val="22"/>
        </w:rPr>
      </w:r>
    </w:p>
    <w:p>
      <w:pPr>
        <w:pStyle w:val="Normal"/>
        <w:tabs>
          <w:tab w:val="clear" w:pos="708"/>
          <w:tab w:val="decimal" w:pos="840" w:leader="none"/>
        </w:tabs>
        <w:ind w:firstLine="540"/>
        <w:jc w:val="both"/>
        <w:rPr>
          <w:rFonts w:ascii="Times New Roman" w:hAnsi="Times New Roman"/>
          <w:sz w:val="22"/>
          <w:szCs w:val="22"/>
        </w:rPr>
      </w:pPr>
      <w:r>
        <w:rPr>
          <w:sz w:val="22"/>
          <w:szCs w:val="22"/>
        </w:rPr>
        <w:t xml:space="preserve"> </w:t>
      </w:r>
      <w:r>
        <w:rPr>
          <w:sz w:val="22"/>
          <w:szCs w:val="22"/>
        </w:rPr>
        <w:t>Общество с ограниченной ответственностью «</w:t>
      </w:r>
      <w:bookmarkStart w:id="0" w:name="__DdeLink__6670_3373566529"/>
      <w:r>
        <w:rPr>
          <w:b w:val="false"/>
          <w:i w:val="false"/>
          <w:caps w:val="false"/>
          <w:smallCaps w:val="false"/>
          <w:color w:val="333333"/>
          <w:spacing w:val="0"/>
          <w:sz w:val="22"/>
          <w:szCs w:val="22"/>
        </w:rPr>
        <w:t>ЛекСтар Коммуникейшн</w:t>
      </w:r>
      <w:bookmarkEnd w:id="0"/>
      <w:r>
        <w:rPr>
          <w:sz w:val="22"/>
          <w:szCs w:val="22"/>
        </w:rPr>
        <w:t>» (ООО «</w:t>
      </w:r>
      <w:r>
        <w:rPr>
          <w:b w:val="false"/>
          <w:i w:val="false"/>
          <w:caps w:val="false"/>
          <w:smallCaps w:val="false"/>
          <w:color w:val="333333"/>
          <w:spacing w:val="0"/>
          <w:sz w:val="22"/>
          <w:szCs w:val="22"/>
        </w:rPr>
        <w:t>ЛекСтар Коммуникейшн</w:t>
      </w:r>
      <w:r>
        <w:rPr>
          <w:sz w:val="22"/>
          <w:szCs w:val="22"/>
        </w:rPr>
        <w:t xml:space="preserve">»), далее Оператор, в лице Генерального директора </w:t>
      </w:r>
      <w:r>
        <w:rPr>
          <w:rFonts w:eastAsia="Times New Roman" w:cs="Times New Roman"/>
          <w:sz w:val="22"/>
          <w:szCs w:val="22"/>
          <w:lang w:eastAsia="ru-RU"/>
        </w:rPr>
        <w:t>Постникова</w:t>
      </w:r>
      <w:r>
        <w:rPr>
          <w:sz w:val="22"/>
          <w:szCs w:val="22"/>
        </w:rPr>
        <w:t xml:space="preserve"> К.В., действующего на основании Устава и Абонент-физическое лицо, заключившее с Оператором Договор на оказание услуг связи по предоставлению доступа в интернет далее-Договор)  для личных, семейных и домашних нужд и других, не связанных с осуществлением предпринимательской деятельности, и принявший (акцептовавший) настоящую Публичную оферту (далее – Публичная оферта), именуемые вместе Стороны, договорились изменить Договор в порядке, предусмотренном настоящей Публичной офертой.</w:t>
      </w:r>
    </w:p>
    <w:p>
      <w:pPr>
        <w:pStyle w:val="Normal"/>
        <w:tabs>
          <w:tab w:val="clear" w:pos="708"/>
          <w:tab w:val="decimal" w:pos="840" w:leader="none"/>
        </w:tabs>
        <w:jc w:val="both"/>
        <w:rPr>
          <w:rFonts w:ascii="Times New Roman" w:hAnsi="Times New Roman"/>
          <w:sz w:val="22"/>
          <w:szCs w:val="22"/>
        </w:rPr>
      </w:pPr>
      <w:r>
        <w:rPr>
          <w:sz w:val="22"/>
          <w:szCs w:val="22"/>
        </w:rPr>
      </w:r>
    </w:p>
    <w:p>
      <w:pPr>
        <w:pStyle w:val="Normal"/>
        <w:tabs>
          <w:tab w:val="clear" w:pos="708"/>
          <w:tab w:val="decimal" w:pos="840" w:leader="none"/>
        </w:tabs>
        <w:jc w:val="both"/>
        <w:rPr>
          <w:rFonts w:ascii="Times New Roman" w:hAnsi="Times New Roman"/>
          <w:sz w:val="22"/>
          <w:szCs w:val="22"/>
        </w:rPr>
      </w:pPr>
      <w:r>
        <w:rPr>
          <w:sz w:val="22"/>
          <w:szCs w:val="22"/>
        </w:rPr>
        <w:t xml:space="preserve">Настоящая Публичная оферта вступает в силу с </w:t>
      </w:r>
      <w:r>
        <w:rPr>
          <w:rFonts w:eastAsia="Times New Roman" w:cs="Times New Roman"/>
          <w:sz w:val="22"/>
          <w:szCs w:val="22"/>
          <w:lang w:eastAsia="ru-RU"/>
        </w:rPr>
        <w:t>13.07.2020</w:t>
      </w:r>
      <w:r>
        <w:rPr>
          <w:sz w:val="22"/>
          <w:szCs w:val="22"/>
        </w:rPr>
        <w:t xml:space="preserve"> и применяется к услугам связи, оказываемым Оператором. </w:t>
      </w:r>
    </w:p>
    <w:p>
      <w:pPr>
        <w:pStyle w:val="NormalWeb"/>
        <w:spacing w:beforeAutospacing="0" w:before="0" w:afterAutospacing="0" w:after="0"/>
        <w:jc w:val="both"/>
        <w:rPr>
          <w:rFonts w:ascii="Times New Roman" w:hAnsi="Times New Roman"/>
          <w:sz w:val="22"/>
          <w:szCs w:val="22"/>
        </w:rPr>
      </w:pPr>
      <w:r>
        <w:rPr>
          <w:sz w:val="22"/>
          <w:szCs w:val="22"/>
          <w:u w:val="single"/>
        </w:rPr>
        <w:t>1. Предмет</w:t>
      </w:r>
    </w:p>
    <w:p>
      <w:pPr>
        <w:pStyle w:val="NormalWeb"/>
        <w:spacing w:beforeAutospacing="0" w:before="0" w:afterAutospacing="0" w:after="0"/>
        <w:jc w:val="both"/>
        <w:rPr>
          <w:rFonts w:ascii="Times New Roman" w:hAnsi="Times New Roman"/>
        </w:rPr>
      </w:pPr>
      <w:r>
        <w:rPr>
          <w:sz w:val="22"/>
          <w:szCs w:val="22"/>
        </w:rPr>
        <w:t>1.1.  Настоящей Публичной офертой Оператор предлагает Абоненту заключить Соглашение к Договору путем акцепта настоящей Публичной оферты.</w:t>
      </w:r>
    </w:p>
    <w:p>
      <w:pPr>
        <w:pStyle w:val="NormalWeb"/>
        <w:spacing w:beforeAutospacing="0" w:before="0" w:afterAutospacing="0" w:after="0"/>
        <w:jc w:val="both"/>
        <w:rPr>
          <w:sz w:val="22"/>
          <w:szCs w:val="22"/>
        </w:rPr>
      </w:pPr>
      <w:r>
        <w:rPr>
          <w:sz w:val="22"/>
          <w:szCs w:val="22"/>
        </w:rPr>
        <w:t xml:space="preserve">1.2. Абонент не имеет возражений при наличии технической возможности оплачивать услуги, оказанные ему Оператором на основании Договора в порядке, и сроки, предусмотренные настоящей Офертой, а именно:       </w:t>
      </w:r>
    </w:p>
    <w:p>
      <w:pPr>
        <w:pStyle w:val="NormalWeb"/>
        <w:spacing w:beforeAutospacing="0" w:before="0" w:afterAutospacing="0" w:after="0"/>
        <w:jc w:val="both"/>
        <w:rPr>
          <w:rFonts w:ascii="Times New Roman" w:hAnsi="Times New Roman"/>
        </w:rPr>
      </w:pPr>
      <w:r>
        <w:rPr>
          <w:sz w:val="22"/>
          <w:szCs w:val="22"/>
        </w:rPr>
        <w:t xml:space="preserve">      </w:t>
      </w:r>
      <w:r>
        <w:rPr>
          <w:sz w:val="22"/>
          <w:szCs w:val="22"/>
        </w:rPr>
        <w:t xml:space="preserve">Оплата Услуг производится Абонентом авансовым платежом, до 1 (первого) числа Расчетного периода. Сумма к оплате в счете за Услуги определяется, исходя из начислений и сложившегося остатка на начало Расчетного периода и платежей Расчетного периода. «Расчетный период» - период продолжительностью в один календарный месяц, в котором были оказаны соответствующие Услуги. Если сумма аванса превышает стоимость оказанных Услуг, Оператор зачисляет образовавшуюся разницу в счет оплаты Услуг в следующем Расчетном периоде. Абонент самостоятельно ведет контроль за наличием денежных средств на своем лицевом счете, получая информацию по телефонам справочно-информационной службы Оператора, в подразделении Оператора, в «Личном кабинете» и т.д. При авансовом способе оплаты Услуг оплата Услуг может производится путем автоматического списания денежных средств с Лицевого счета Абонента в Расчетном периоде, предшествующему периоду начала оказания Услуг в Расчетном периоде, при наличии у Оператора соответствующей технической возможности. При этом не позднее </w:t>
      </w:r>
      <w:r>
        <w:rPr>
          <w:rFonts w:eastAsia="Calibri" w:cs="Times New Roman"/>
          <w:sz w:val="22"/>
          <w:szCs w:val="22"/>
          <w:lang w:eastAsia="ru-RU"/>
        </w:rPr>
        <w:t>3</w:t>
      </w:r>
      <w:r>
        <w:rPr>
          <w:sz w:val="22"/>
          <w:szCs w:val="22"/>
        </w:rPr>
        <w:t xml:space="preserve"> (трех) рабочих дней с момента заключения Договора (если иное не предусмотрено Договором) Абонент обязан внести на Лицевой счет платежи за оплачиваемые Услуги. На момент начала оказания соответствующих Услуг баланс Лицевого счета должен быть достаточным для оплаты Услуг. В случае исчерпания аванса оказание Услуг приостанавливается без предварительного уведомления Абонента. </w:t>
      </w:r>
    </w:p>
    <w:p>
      <w:pPr>
        <w:pStyle w:val="NormalWeb"/>
        <w:spacing w:beforeAutospacing="0" w:before="0" w:afterAutospacing="0" w:after="0"/>
        <w:jc w:val="both"/>
        <w:rPr>
          <w:sz w:val="22"/>
          <w:szCs w:val="22"/>
        </w:rPr>
      </w:pPr>
      <w:r>
        <w:rPr>
          <w:sz w:val="22"/>
          <w:szCs w:val="22"/>
        </w:rPr>
        <w:t xml:space="preserve">1.3. Абонент не имеет возражений получать услуги на основании Правил оказания услуг связи по предоставлению доступа в интернет Оператора в редакции, указанной в Приложении к настоящей Оферте.  </w:t>
      </w:r>
    </w:p>
    <w:p>
      <w:pPr>
        <w:pStyle w:val="NormalWeb"/>
        <w:spacing w:beforeAutospacing="0" w:before="0" w:afterAutospacing="0" w:after="0"/>
        <w:jc w:val="both"/>
        <w:rPr>
          <w:sz w:val="22"/>
          <w:szCs w:val="22"/>
          <w:u w:val="single"/>
        </w:rPr>
      </w:pPr>
      <w:r>
        <w:rPr>
          <w:sz w:val="22"/>
          <w:szCs w:val="22"/>
        </w:rPr>
        <w:tab/>
        <w:t xml:space="preserve"> </w:t>
      </w:r>
      <w:r>
        <w:rPr>
          <w:sz w:val="22"/>
          <w:szCs w:val="22"/>
          <w:u w:val="single"/>
        </w:rPr>
        <w:t>2. Акцепт</w:t>
      </w:r>
    </w:p>
    <w:p>
      <w:pPr>
        <w:pStyle w:val="NormalWeb"/>
        <w:spacing w:beforeAutospacing="0" w:before="0" w:afterAutospacing="0" w:after="0"/>
        <w:jc w:val="both"/>
        <w:rPr>
          <w:sz w:val="22"/>
          <w:szCs w:val="22"/>
        </w:rPr>
      </w:pPr>
      <w:r>
        <w:rPr>
          <w:sz w:val="22"/>
          <w:szCs w:val="22"/>
        </w:rPr>
        <w:t>2.1.  Акцептом настоящей Публичной оферты являются действия Абонента по оплате.</w:t>
      </w:r>
    </w:p>
    <w:p>
      <w:pPr>
        <w:pStyle w:val="NormalWeb"/>
        <w:spacing w:beforeAutospacing="0" w:before="0" w:afterAutospacing="0" w:after="0"/>
        <w:jc w:val="both"/>
        <w:rPr>
          <w:sz w:val="22"/>
          <w:szCs w:val="22"/>
        </w:rPr>
      </w:pPr>
      <w:r>
        <w:rPr>
          <w:sz w:val="22"/>
          <w:szCs w:val="22"/>
        </w:rPr>
        <w:t xml:space="preserve">2.2. В результате совершения акцепта Абонент становится стороной Соглашения, а условия Договора изменяются согласно п. 1.2 настоящей Оферты.   </w:t>
      </w:r>
    </w:p>
    <w:p>
      <w:pPr>
        <w:pStyle w:val="NormalWeb"/>
        <w:spacing w:beforeAutospacing="0" w:before="0" w:afterAutospacing="0" w:after="0"/>
        <w:jc w:val="both"/>
        <w:rPr>
          <w:sz w:val="22"/>
          <w:szCs w:val="22"/>
          <w:u w:val="single"/>
        </w:rPr>
      </w:pPr>
      <w:r>
        <w:rPr>
          <w:sz w:val="22"/>
          <w:szCs w:val="22"/>
        </w:rPr>
        <w:t xml:space="preserve">              </w:t>
      </w:r>
      <w:r>
        <w:rPr>
          <w:sz w:val="22"/>
          <w:szCs w:val="22"/>
          <w:u w:val="single"/>
        </w:rPr>
        <w:t>3. Прочие условия</w:t>
      </w:r>
    </w:p>
    <w:p>
      <w:pPr>
        <w:pStyle w:val="NormalWeb"/>
        <w:spacing w:beforeAutospacing="0" w:before="0" w:afterAutospacing="0" w:after="0"/>
        <w:jc w:val="both"/>
        <w:rPr>
          <w:sz w:val="22"/>
          <w:szCs w:val="22"/>
        </w:rPr>
      </w:pPr>
      <w:r>
        <w:rPr>
          <w:sz w:val="22"/>
          <w:szCs w:val="22"/>
        </w:rPr>
        <w:t>3.1. Действия по заключению соответствующего соглашения к Договору, признаются Оператором действиями Абонента, если Оператор не был осведомлен об ином. Бремя доказывания совершения указанных действий иным лицом, чем Абонент, лежит на последнем.</w:t>
      </w:r>
    </w:p>
    <w:p>
      <w:pPr>
        <w:pStyle w:val="Normal"/>
        <w:tabs>
          <w:tab w:val="clear" w:pos="708"/>
          <w:tab w:val="decimal" w:pos="840" w:leader="none"/>
        </w:tabs>
        <w:jc w:val="both"/>
        <w:rPr>
          <w:sz w:val="22"/>
          <w:szCs w:val="22"/>
        </w:rPr>
      </w:pPr>
      <w:r>
        <w:rPr>
          <w:sz w:val="22"/>
          <w:szCs w:val="22"/>
        </w:rPr>
        <w:t xml:space="preserve">3.2. Принимая (акцептуя) настоящую Публичную оферту, Абонент выражает свое полное и безоговорочное согласие с ее условиями. </w:t>
      </w:r>
    </w:p>
    <w:p>
      <w:pPr>
        <w:pStyle w:val="Normal"/>
        <w:jc w:val="both"/>
        <w:rPr>
          <w:sz w:val="22"/>
          <w:szCs w:val="22"/>
        </w:rPr>
      </w:pPr>
      <w:r>
        <w:rPr>
          <w:sz w:val="22"/>
          <w:szCs w:val="22"/>
        </w:rPr>
        <w:t xml:space="preserve">3.3. Во всем остальном, что не урегулировано настоящей Публичной офертой, Абонент и Оператор руководствуются Договором, а также Федеральным законом «О связи» и иными нормативными правовыми актами, регулирующими соответствующие отношения. </w:t>
      </w:r>
    </w:p>
    <w:p>
      <w:pPr>
        <w:pStyle w:val="Normal"/>
        <w:jc w:val="both"/>
        <w:rPr>
          <w:sz w:val="22"/>
          <w:szCs w:val="22"/>
        </w:rPr>
      </w:pPr>
      <w:r>
        <w:rPr>
          <w:sz w:val="22"/>
          <w:szCs w:val="22"/>
        </w:rPr>
        <w:t xml:space="preserve">              </w:t>
      </w:r>
    </w:p>
    <w:p>
      <w:pPr>
        <w:pStyle w:val="Normal"/>
        <w:jc w:val="both"/>
        <w:rPr>
          <w:sz w:val="22"/>
          <w:szCs w:val="22"/>
          <w:u w:val="single"/>
        </w:rPr>
      </w:pPr>
      <w:r>
        <w:rPr>
          <w:sz w:val="22"/>
          <w:szCs w:val="22"/>
        </w:rPr>
        <w:t xml:space="preserve">             </w:t>
      </w:r>
      <w:r>
        <w:rPr>
          <w:sz w:val="22"/>
          <w:szCs w:val="22"/>
          <w:u w:val="single"/>
        </w:rPr>
        <w:t>4. Приложения</w:t>
      </w:r>
    </w:p>
    <w:p>
      <w:pPr>
        <w:pStyle w:val="11"/>
        <w:ind w:firstLine="709"/>
        <w:rPr>
          <w:rFonts w:ascii="Times New Roman" w:hAnsi="Times New Roman"/>
          <w:sz w:val="22"/>
          <w:szCs w:val="22"/>
        </w:rPr>
      </w:pPr>
      <w:r>
        <w:rPr>
          <w:rFonts w:ascii="Times New Roman" w:hAnsi="Times New Roman"/>
          <w:sz w:val="22"/>
          <w:szCs w:val="22"/>
        </w:rPr>
        <w:t xml:space="preserve">4.1.Правила оказания услуг связи по предоставлению доступа в интернет Оператора. </w:t>
      </w:r>
    </w:p>
    <w:p>
      <w:pPr>
        <w:pStyle w:val="Normal"/>
        <w:jc w:val="both"/>
        <w:rPr>
          <w:rFonts w:ascii="Times New Roman" w:hAnsi="Times New Roman"/>
          <w:sz w:val="20"/>
          <w:szCs w:val="20"/>
          <w:u w:val="single"/>
        </w:rPr>
      </w:pPr>
      <w:r>
        <w:rPr>
          <w:sz w:val="20"/>
          <w:szCs w:val="20"/>
          <w:u w:val="single"/>
        </w:rPr>
      </w:r>
    </w:p>
    <w:p>
      <w:pPr>
        <w:pStyle w:val="Normal"/>
        <w:ind w:firstLine="709"/>
        <w:jc w:val="both"/>
        <w:rPr>
          <w:rFonts w:ascii="Times New Roman" w:hAnsi="Times New Roman"/>
          <w:sz w:val="20"/>
          <w:szCs w:val="20"/>
        </w:rPr>
      </w:pPr>
      <w:r>
        <w:rPr>
          <w:sz w:val="20"/>
          <w:szCs w:val="20"/>
        </w:rPr>
      </w:r>
    </w:p>
    <w:p>
      <w:pPr>
        <w:pStyle w:val="Normal"/>
        <w:ind w:firstLine="709"/>
        <w:jc w:val="both"/>
        <w:rPr>
          <w:rFonts w:ascii="Times New Roman" w:hAnsi="Times New Roman"/>
          <w:sz w:val="20"/>
          <w:szCs w:val="20"/>
        </w:rPr>
      </w:pPr>
      <w:r>
        <w:rPr>
          <w:sz w:val="20"/>
          <w:szCs w:val="20"/>
        </w:rPr>
      </w:r>
    </w:p>
    <w:p>
      <w:pPr>
        <w:pStyle w:val="Normal"/>
        <w:tabs>
          <w:tab w:val="clear" w:pos="708"/>
          <w:tab w:val="decimal" w:pos="840" w:leader="none"/>
        </w:tabs>
        <w:ind w:left="360" w:hanging="0"/>
        <w:jc w:val="both"/>
        <w:rPr>
          <w:rFonts w:ascii="Times New Roman" w:hAnsi="Times New Roman"/>
        </w:rPr>
      </w:pPr>
      <w:r>
        <w:rPr/>
      </w:r>
    </w:p>
    <w:p>
      <w:pPr>
        <w:pStyle w:val="Normal"/>
        <w:rPr/>
      </w:pPr>
      <w:r>
        <w:rPr/>
      </w:r>
    </w:p>
    <w:sectPr>
      <w:type w:val="nextPage"/>
      <w:pgSz w:w="11906" w:h="16838"/>
      <w:pgMar w:left="1440" w:right="850" w:header="0" w:top="851" w:footer="0" w:bottom="71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8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e2893"/>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1" w:customStyle="1">
    <w:name w:val="çàãîëîâîê 1"/>
    <w:basedOn w:val="Normal"/>
    <w:next w:val="Normal"/>
    <w:qFormat/>
    <w:rsid w:val="00ce2893"/>
    <w:pPr>
      <w:keepNext w:val="true"/>
    </w:pPr>
    <w:rPr>
      <w:b/>
      <w:sz w:val="28"/>
      <w:szCs w:val="20"/>
    </w:rPr>
  </w:style>
  <w:style w:type="paragraph" w:styleId="NormalWeb">
    <w:name w:val="Normal (Web)"/>
    <w:basedOn w:val="Normal"/>
    <w:qFormat/>
    <w:rsid w:val="00ce2893"/>
    <w:pPr>
      <w:spacing w:beforeAutospacing="1" w:afterAutospacing="1"/>
    </w:pPr>
    <w:rPr>
      <w:rFonts w:eastAsia="Calibri"/>
    </w:rPr>
  </w:style>
  <w:style w:type="paragraph" w:styleId="11" w:customStyle="1">
    <w:name w:val="Обычный1"/>
    <w:qFormat/>
    <w:rsid w:val="00ce2893"/>
    <w:pPr>
      <w:widowControl w:val="false"/>
      <w:suppressAutoHyphens w:val="true"/>
      <w:bidi w:val="0"/>
      <w:spacing w:lineRule="auto" w:line="240" w:before="0" w:after="0"/>
      <w:jc w:val="left"/>
    </w:pPr>
    <w:rPr>
      <w:rFonts w:ascii="Arial" w:hAnsi="Arial" w:eastAsia="Arial" w:cs="Times New Roman"/>
      <w:color w:val="auto"/>
      <w:kern w:val="0"/>
      <w:sz w:val="20"/>
      <w:szCs w:val="20"/>
      <w:lang w:val="ru-RU" w:eastAsia="ar-SA"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621</Words>
  <Characters>4340</Characters>
  <Paragraphs>28</Paragraphs>
  <CharactersWithSpaces>5015</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dcterms:created xsi:type="dcterms:W3CDTF">2020-07-15T10:34:00Z</dcterms:created>
  <dcterms:modified xsi:type="dcterms:W3CDTF">2020-07-16T11:14:15Z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ПАО "Ростелеком"</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